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ba14aaf0a412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36707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CERNIK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3.126.261,96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3.055.643,36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1.946.737,59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2.581.396,89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1.179.524,37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474.246,47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49.714,57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1.609.064,88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1.045.938,24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1.559.350,31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1.042.408,61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1.103.824,29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114.458,67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989.365,62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421.203,48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ostvareni prihodi poslovanja manji su za 70.618,60 eura što iznosi 97,7 posto ostvarenja u odnosu na prethodnu godinu. Povećanje bilježi prihod od poreza na dohodak, naknada za korištenje nefinancijske imovine i prihodi od doprinosa za šume.</w:t>
      </w:r>
      <w:r>
        <w:br/>
      </w:r>
      <w:r>
        <w:t xml:space="preserve">Ukupno izvršeni rashodi poslovanja veći su za 634.659,30 eura, a u najveći mjeri se odnose na povećanje rashoda za zaposlene zbog projekta Zaželi te na materijalne rashode za provedbu projekta.</w:t>
      </w:r>
      <w:r>
        <w:br/>
      </w:r>
      <w:r>
        <w:t xml:space="preserve">Prihodi od prodaje nefinancijske imovine manji su u odnosu na prethodnu godinu u kojoj je realizirana prodaja zemljišta, dok su rashodi za nabavu nefinancijske imovine smanjeni u odnosu na prethodnu godinu za 563.126,64 eura, a odnose se na nastavak provedbe projekta za Poljoprivredno poduzetnički inkubator, izgradnju sportskog centra, izgradnju dječjih igrališta te ostala kapitalna ulaganja (nerazvrstane ceste i dr.).</w:t>
      </w:r>
      <w:r>
        <w:br/>
      </w:r>
      <w:r>
        <w:t xml:space="preserve">Primici od financijske imovine znato su veći u odnosu na prošlu godinu, a odnose se na kreditnu obvezu prema HBOR-u za Poljoprivredno poduzetnički inkubator i podizanje kratkoročnog kredita za namirenje dospjelih obveza.</w:t>
      </w:r>
      <w:r>
        <w:br/>
      </w:r>
      <w:r>
        <w:t xml:space="preserve">Tekuća godina zabilježila je višak prihoda u iznosu 421.203,48 eura što s prenesenim manjkom prihoda iz prethodne godine u iznosu od 699.859,07 eura čini manjak prihoda i primitaka za pokriće u sljedećem razdoblju u iznosu 278.655,59 eura.</w:t>
      </w:r>
      <w:r>
        <w:br/>
      </w:r>
      <w:r>
        <w:t xml:space="preserve">U tekućoj godini preneseni rezultat ispravljen je u ukupnom iznosu od 47.954,09 eura u najvećoj mjeri za rashode koji nisu bili zaduženi u prethodnoj godini.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883.733,35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1.094.297,11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Prihodi od poreza ostvareni su za 209.607,14 eura više u odnosu na prethodnu godinu. Najveće ostvarenje bilježi porez na dohodak od nesamostalnog rada. Porezi na imovinu bilježe ostvarenje neznatno veće nego prošle godine, povećanje u iznosu 2,5 posto.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1.342.353,51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404.745,02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30,2</w:t>
            </w:r>
          </w:p>
        </w:tc>
      </w:tr>
    </w:tbl>
    <w:p>
      <w:pPr>
        <w:spacing w:before="0" w:after="0"/>
      </w:pPr>
    </w:p>
    <w:p>
      <w:r>
        <w:t xml:space="preserve">Pad ostvarenja prihoda od pomoći proračunu odnosi se na promjenu u načinu knjiženja pomoći za sredstva fiskalnog izravnanja koji se u tekućoj godini knjiže na račun 6353. Također, u prethodnoj godini Općina je dobila pomoć za sanaciju štete na stambenim objektima i pomoć za funkcionalno spajanje općina. Ostale pomoći odnose se na opremanje dječjeg vrtića, projekt obnove društvenog doma, izgradnju dječjeg igrališta i refundacije za provođenje lokalnih izbora od strane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47.396,78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177.822,48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375,2</w:t>
            </w:r>
          </w:p>
        </w:tc>
      </w:tr>
    </w:tbl>
    <w:p>
      <w:pPr>
        <w:spacing w:before="0" w:after="0"/>
      </w:pPr>
    </w:p>
    <w:p>
      <w:r>
        <w:t xml:space="preserve">Prihodi od imovine znatno su veći u odnosu na prošlu godinu. Povećanje prihoda odnosi se na povećan priljev od naknade za eksploataciju mineralnih sirovina te na naknade od koncesija.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149.628,50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193.423,31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Prihodi od šumskog doprinosa su značajno povećani zbog veće eksploatacije drveća tijekom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1.946.737,59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2.581.396,89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132,6</w:t>
            </w:r>
          </w:p>
        </w:tc>
      </w:tr>
    </w:tbl>
    <w:p>
      <w:pPr>
        <w:spacing w:before="0" w:after="0"/>
      </w:pPr>
    </w:p>
    <w:p>
      <w:r>
        <w:t xml:space="preserve">Povećanje rashoda za zaposlene bilježi se zbog provođenja projekta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18.061,32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29.183,35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161,6</w:t>
            </w:r>
          </w:p>
        </w:tc>
      </w:tr>
    </w:tbl>
    <w:p>
      <w:pPr>
        <w:spacing w:before="0" w:after="0"/>
      </w:pPr>
    </w:p>
    <w:p>
      <w:r>
        <w:t xml:space="preserve">Povećanje materijalnih rashoda se u najvećoj mjeri odnosi na povećanje materijala i sredstava za čišćenje i održavanje koji je nabavljen u sklopu projekta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362,4</w:t>
            </w:r>
          </w:p>
        </w:tc>
      </w:tr>
    </w:tbl>
    <w:p>
      <w:pPr>
        <w:spacing w:before="0" w:after="0"/>
      </w:pPr>
    </w:p>
    <w:p>
      <w:r>
        <w:t xml:space="preserve">Tijekom 2025. godine nabavljeni su novi stolovi za obilježavanje prigodnih manifestacija te sitni materijal za uredske prostore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412.066,97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646.456,02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156,9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bilježe porast zbog pojačanog održavanja javnih površina, javne rasvjete i komunalne infrastrukture.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65.449,69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137.986,68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210,8</w:t>
            </w:r>
          </w:p>
        </w:tc>
      </w:tr>
    </w:tbl>
    <w:p>
      <w:pPr>
        <w:spacing w:before="0" w:after="0"/>
      </w:pPr>
    </w:p>
    <w:p>
      <w:r>
        <w:t xml:space="preserve">Povećani rashodi za intelektualne usluge odnose se na povećanje rashoda za geodetsko- katastarske usluge i na usluge knjigovodstvenog servisa zbog odsustva djelatnika na računovodstvenim poslovima.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21.253,85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33.038,85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155,4</w:t>
            </w:r>
          </w:p>
        </w:tc>
      </w:tr>
    </w:tbl>
    <w:p>
      <w:pPr>
        <w:spacing w:before="0" w:after="0"/>
      </w:pPr>
    </w:p>
    <w:p>
      <w:r>
        <w:t xml:space="preserve">Rashodi za računalne usluge odnose se na održavanje software-a i redovno održavanje računalnih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152.739,02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198.233,09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129,8</w:t>
            </w:r>
          </w:p>
        </w:tc>
      </w:tr>
    </w:tbl>
    <w:p>
      <w:pPr>
        <w:spacing w:before="0" w:after="0"/>
      </w:pPr>
    </w:p>
    <w:p>
      <w:r>
        <w:t xml:space="preserve">Povećani rashodi odnose se na rashode za naknade za provođenje lokalnih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19.373,91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18.011,30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</w:t>
            </w:r>
          </w:p>
        </w:tc>
      </w:tr>
    </w:tbl>
    <w:p>
      <w:pPr>
        <w:spacing w:before="0" w:after="0"/>
      </w:pPr>
    </w:p>
    <w:p>
      <w:r>
        <w:t xml:space="preserve">Financijski rashodi odnose se na realizaciju kredita prema HBOR-u i kamate na kratkoročni kredit.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r>
        <w:t xml:space="preserve">Ostali nespomenuti financijski rashodi odnose se na realizaciju kredita prema HBOR-u.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98.937,66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143.132,37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144,7</w:t>
            </w:r>
          </w:p>
        </w:tc>
      </w:tr>
    </w:tbl>
    <w:p>
      <w:pPr>
        <w:spacing w:before="0" w:after="0"/>
      </w:pPr>
    </w:p>
    <w:p>
      <w:r>
        <w:t xml:space="preserve">Rashodi za tekuće pomoći proračunskim korisnicima drugih proračuna odnose se na transfere dječjem vrtiću drugog proračuna čiji korisnici su djeca s područja općine Cernik.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Kapitalna pomoć dana je za pomoć za izgradnju policijske stanice.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20.118,28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38.241,16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190,1</w:t>
            </w:r>
          </w:p>
        </w:tc>
      </w:tr>
    </w:tbl>
    <w:p>
      <w:pPr>
        <w:spacing w:before="0" w:after="0"/>
      </w:pPr>
    </w:p>
    <w:p>
      <w:r>
        <w:t xml:space="preserve">Povećanje se odnosi na dane prigodne darove za mještane.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penali i naknade štete (šifre 3831 do 3835)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75.443,21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4,4</w:t>
            </w:r>
          </w:p>
        </w:tc>
      </w:tr>
    </w:tbl>
    <w:p>
      <w:pPr>
        <w:spacing w:before="0" w:after="0"/>
      </w:pPr>
    </w:p>
    <w:p>
      <w:r>
        <w:t xml:space="preserve">U prethodnom razdoblju isplaćivale su se naknade za štete uslijed elementarne nepogodne. Navedenog rashoda u tekućem razdoblju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49.714,57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</w:tbl>
    <w:p>
      <w:pPr>
        <w:spacing w:before="0" w:after="0"/>
      </w:pPr>
    </w:p>
    <w:p>
      <w:r>
        <w:t xml:space="preserve">U prethodnom razdoblju ostvarena je prodaja zemljišta koja u tekućem razdoblju nije realizirana.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875.018,13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383.611,46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43,8</w:t>
            </w:r>
          </w:p>
        </w:tc>
      </w:tr>
    </w:tbl>
    <w:p>
      <w:pPr>
        <w:spacing w:before="0" w:after="0"/>
      </w:pPr>
    </w:p>
    <w:p>
      <w:r>
        <w:t xml:space="preserve">U prethodnoj godini provođen je projekt izgradnje poljoprivrednog inkubatora čiji je završetak nastavljen u tekućoj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88.680,25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252.305,02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284,5</w:t>
            </w:r>
          </w:p>
        </w:tc>
      </w:tr>
    </w:tbl>
    <w:p>
      <w:pPr>
        <w:spacing w:before="0" w:after="0"/>
      </w:pPr>
    </w:p>
    <w:p>
      <w:r>
        <w:t xml:space="preserve">Tijekom 2025. Općina je imala kapitalnih rashoda na izgradnji cesta u Općini te izgradnji nerazvrstanih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261.994,66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217.336,87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</w:tbl>
    <w:p>
      <w:pPr>
        <w:spacing w:before="0" w:after="0"/>
      </w:pPr>
    </w:p>
    <w:p>
      <w:r>
        <w:t xml:space="preserve">Općina je imala kapitalnih rashoda na izgradnji sportskog  centra.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54.420,30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1744,2</w:t>
            </w:r>
          </w:p>
        </w:tc>
      </w:tr>
    </w:tbl>
    <w:p>
      <w:pPr>
        <w:spacing w:before="0" w:after="0"/>
      </w:pPr>
    </w:p>
    <w:p>
      <w:r>
        <w:t xml:space="preserve">Povećanje se odnosi na nabavu aplikacijskoj sustava za vođenje prostornih podataka.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56.285,66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85.865,63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152,6</w:t>
            </w:r>
          </w:p>
        </w:tc>
      </w:tr>
    </w:tbl>
    <w:p>
      <w:pPr>
        <w:spacing w:before="0" w:after="0"/>
      </w:pPr>
    </w:p>
    <w:p>
      <w:r>
        <w:t xml:space="preserve">Dodatna ulaganja na građevinskim objektima odnose se na ulaganje u obnovu društvenog doma u Šumetlici.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1.103.824,29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554,7</w:t>
            </w:r>
          </w:p>
        </w:tc>
      </w:tr>
    </w:tbl>
    <w:p>
      <w:pPr>
        <w:spacing w:before="0" w:after="0"/>
      </w:pPr>
    </w:p>
    <w:p>
      <w:r>
        <w:t xml:space="preserve">Iznos na primicima od kredita odnosi se na iznos od 90.000,00 eura za kratkoročni kredit za poboljšanje likvidnosti i na iznos od 1.013.824,29 eura za dugoročni kredit od HBOR-a za provođenje kapitalnog projekta izgradnje poljoprivredno poduzetničkog inkubatora.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114.458,67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Izdatak za dani zajam odnosi se na pozajmicu trgovačkom društvu u većinskom vlasništvu općine (Cerkom d.o.o.) u iznosu 1.300,00 eura, a ostali iznos odnosi se na otplatu kredita.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8.415.609,08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9.062.675,62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r>
        <w:t xml:space="preserve">Nefinancijska imovina Općine je u 2025. godini povećana za 455.409,67 eura. Povećanje se odnosilo na ulaganje u zgrade društvenih domova, izgradnju pješačkih staza, izgradnju sportskog centra Mladost, sanacije nerazvrstanih cesta, izgradnju dječjeg igrališta te u najvećoj mjeri na izgradnju poljoprivredno poduzetničkog inkubatora.</w:t>
      </w:r>
      <w:r>
        <w:br/>
      </w:r>
      <w:r>
        <w:t xml:space="preserve">Financijsku imovine Općine u najvećoj mjeri čine novac na računu, nenaplaćena potraživanja za prihode poslovanja te udjeli u trgovačkim društvima Vodovod Zapadne Slavonije i Odlagalište d.o.o.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8.415.609,08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9.062.675,62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r>
        <w:t xml:space="preserve">Općina ima neplaćenih obveza u iznosu 306.109,04  eura u najvećoj mjeri za rashode poslovanja, odnosno na materijalne rashode koje čine rashodi za tekuće održavanje te na rashode za nabavu nefinancijske imovine, odnosno na provedbu kapitalnih projekata. </w:t>
      </w:r>
      <w:r>
        <w:br/>
      </w:r>
      <w:r>
        <w:t xml:space="preserve">Ukupan rezultat Općine je manjak za pokriće u idućem razdoblju u iznosu od 278.655,59 eura koji je u velikoj mjeri smanjen u odnosu na preneseni manjak u iznosu 699.859,07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306.109,04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odnosi se u najvećoj mjeri na rashode poslovanja, odnosno na materijalne rashode koje u najvećoj mjeri čine rashodi za tekuće održavanje te na rashode za nabavu nefinancijske imovine, odnosno na provedbu kapitalnih projekata.</w:t>
      </w:r>
      <w:r>
        <w:br/>
      </w:r>
      <w:r>
        <w:t xml:space="preserve">Općina je podigla kratkoročni kredit zbog nedostatka likvidnosti te se u narednom razdoblju planira podmirenje dospjelih obveza sukladno likvidnosti.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Ukupno obveze za rashode poslovanja (šifre D231+D232+D234+D235+D236+D237+D 238+D239)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212.671,72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materijalne rashode u najvećoj mjeri čine obveze za rashode za tekuće i investicijsko održavanje koje zbog nedostatka likvidnosti nisu podmirene.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D24A do D24D)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93.437,32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nabavu nefinancijske imovine odnose se na provedbu projekata za čije podmirenje je djelomično podignut kratkoročni kredit, a djelomično će se financirati iz kredita HBOR-a.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152.718,96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za rashode poslovanja u najvećoj mjeri čine obveze za isplatu plaće za prosinac.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1.188.042,70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financijsku imovinu čine obveze za kratkoročni kredit podignut u drugoj polovici 2024. godine, obveze za kredit HBOR-a i obveze za kratkoročni kredit podignut u tekućem razdoblju koje su sve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nema proračunskih korisnika te nema unutargrupnih transakcija koje su eliminirane.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Tekuća godina zabilježila je višak prihoda u iznosu 421.203,48 eura što s prenesenim manjkom prihoda iz prethodne godine u iznosu od 699.859,07 eura čini manjak prihoda i primitaka za pokriće u sljedećem razdoblju u iznosu 278.655,59 eura.</w:t>
      </w:r>
      <w:r>
        <w:br/>
      </w:r>
      <w:r>
        <w:t xml:space="preserve">U tekućoj godini preneseni rezultat ispravljen je u ukupnom iznosu od 47.954,09 eura u najvećoj mjeri za rashode koji nisu bili zaduženi u prethodnoj godini.</w:t>
      </w:r>
    </w:p>
    <w:p>
      <w:r>
        <w:t xml:space="preserve">Općina nema proračunskih korisnika i time je ukupan rezultat, rezultat Općine Cernik.</w:t>
      </w:r>
    </w:p>
    <w:p>
      <w:r>
        <w:t xml:space="preserve">Struktura rezultata Općine Cernik za prijenos u 2026. godinu je:</w:t>
      </w:r>
    </w:p>
    <w:p>
      <w:pPr>
        <w:pStyle w:val="ListParagraph"/>
        <w:numPr>
          <w:ilvl w:val="0"/>
          <w:numId w:val="2"/>
        </w:numPr>
      </w:pPr>
      <w:r>
        <w:t xml:space="preserve">višak prihoda poslovanja u iznosu 9.069.224,06 eura</w:t>
      </w:r>
    </w:p>
    <w:p>
      <w:pPr>
        <w:pStyle w:val="ListParagraph"/>
        <w:numPr>
          <w:ilvl w:val="0"/>
          <w:numId w:val="2"/>
        </w:numPr>
      </w:pPr>
      <w:r>
        <w:t xml:space="preserve">višak primitaka od financijske imovine u iznosu 994.726,17 eura</w:t>
      </w:r>
    </w:p>
    <w:p>
      <w:pPr>
        <w:pStyle w:val="ListParagraph"/>
        <w:numPr>
          <w:ilvl w:val="0"/>
          <w:numId w:val="2"/>
        </w:numPr>
      </w:pPr>
      <w:r>
        <w:t xml:space="preserve">manjak prihoda od nefinancijske imovine 10.342.605,82 eura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9196064ce0437f" /><Relationship Type="http://schemas.openxmlformats.org/officeDocument/2006/relationships/numbering" Target="/word/numbering.xml" Id="Rdf3f2ef2af1f47b3" /></Relationships>
</file>